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A0A" w:rsidRPr="005F7A0A" w:rsidRDefault="005F7A0A" w:rsidP="005F7A0A">
      <w:pPr>
        <w:spacing w:line="240" w:lineRule="auto"/>
        <w:jc w:val="both"/>
        <w:outlineLvl w:val="0"/>
        <w:rPr>
          <w:rFonts w:ascii="Lucida Calligraphy" w:eastAsia="Times New Roman" w:hAnsi="Lucida Calligraphy" w:cs="Arial"/>
          <w:b/>
          <w:color w:val="365F91" w:themeColor="accent1" w:themeShade="BF"/>
          <w:kern w:val="36"/>
          <w:sz w:val="72"/>
          <w:szCs w:val="72"/>
        </w:rPr>
      </w:pPr>
      <w:bookmarkStart w:id="0" w:name="_GoBack"/>
      <w:r>
        <w:rPr>
          <w:rFonts w:ascii="Verdana" w:hAnsi="Verdan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674C180" wp14:editId="18300B6B">
            <wp:simplePos x="0" y="0"/>
            <wp:positionH relativeFrom="column">
              <wp:posOffset>3674745</wp:posOffset>
            </wp:positionH>
            <wp:positionV relativeFrom="paragraph">
              <wp:posOffset>189230</wp:posOffset>
            </wp:positionV>
            <wp:extent cx="2843530" cy="4029710"/>
            <wp:effectExtent l="0" t="0" r="0" b="889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530" cy="402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5F7A0A">
        <w:rPr>
          <w:rFonts w:ascii="Lucida Calligraphy" w:eastAsia="Times New Roman" w:hAnsi="Lucida Calligraphy" w:cs="Arial"/>
          <w:b/>
          <w:color w:val="365F91" w:themeColor="accent1" w:themeShade="BF"/>
          <w:kern w:val="36"/>
          <w:sz w:val="72"/>
          <w:szCs w:val="72"/>
        </w:rPr>
        <w:t>Nanebevstou</w:t>
      </w:r>
      <w:r w:rsidR="007F4C41">
        <w:rPr>
          <w:rFonts w:ascii="Lucida Calligraphy" w:eastAsia="Times New Roman" w:hAnsi="Lucida Calligraphy" w:cs="Arial"/>
          <w:b/>
          <w:color w:val="365F91" w:themeColor="accent1" w:themeShade="BF"/>
          <w:kern w:val="36"/>
          <w:sz w:val="72"/>
          <w:szCs w:val="72"/>
        </w:rPr>
        <w:t>-</w:t>
      </w:r>
      <w:r w:rsidRPr="005F7A0A">
        <w:rPr>
          <w:rFonts w:ascii="Lucida Calligraphy" w:eastAsia="Times New Roman" w:hAnsi="Lucida Calligraphy" w:cs="Arial"/>
          <w:b/>
          <w:color w:val="365F91" w:themeColor="accent1" w:themeShade="BF"/>
          <w:kern w:val="36"/>
          <w:sz w:val="72"/>
          <w:szCs w:val="72"/>
        </w:rPr>
        <w:t>pení Pán</w:t>
      </w:r>
      <w:r w:rsidRPr="005F7A0A">
        <w:rPr>
          <w:rFonts w:ascii="Times New Roman" w:eastAsia="Times New Roman" w:hAnsi="Times New Roman" w:cs="Times New Roman"/>
          <w:b/>
          <w:color w:val="365F91" w:themeColor="accent1" w:themeShade="BF"/>
          <w:kern w:val="36"/>
          <w:sz w:val="72"/>
          <w:szCs w:val="72"/>
        </w:rPr>
        <w:t>ě</w:t>
      </w:r>
    </w:p>
    <w:p w:rsidR="005F7A0A" w:rsidRPr="005F7A0A" w:rsidRDefault="005F7A0A" w:rsidP="005F7A0A">
      <w:pPr>
        <w:spacing w:before="100" w:beforeAutospacing="1" w:after="100" w:afterAutospacing="1" w:line="240" w:lineRule="auto"/>
        <w:jc w:val="both"/>
        <w:outlineLvl w:val="3"/>
        <w:rPr>
          <w:rFonts w:ascii="Verdana" w:eastAsia="Times New Roman" w:hAnsi="Verdana" w:cs="Arial"/>
          <w:b/>
          <w:i/>
          <w:sz w:val="24"/>
          <w:szCs w:val="24"/>
        </w:rPr>
      </w:pPr>
      <w:r w:rsidRPr="005F7A0A">
        <w:rPr>
          <w:rFonts w:ascii="Verdana" w:eastAsia="Times New Roman" w:hAnsi="Verdana" w:cs="Arial"/>
          <w:b/>
          <w:i/>
          <w:sz w:val="24"/>
          <w:szCs w:val="24"/>
        </w:rPr>
        <w:t>Josef Kaše</w:t>
      </w:r>
    </w:p>
    <w:p w:rsidR="005F7A0A" w:rsidRPr="005F7A0A" w:rsidRDefault="005F7A0A" w:rsidP="005F7A0A">
      <w:pPr>
        <w:spacing w:after="288" w:line="240" w:lineRule="auto"/>
        <w:jc w:val="both"/>
        <w:rPr>
          <w:rFonts w:ascii="Verdana" w:eastAsia="Times New Roman" w:hAnsi="Verdana" w:cs="Arial"/>
          <w:sz w:val="24"/>
          <w:szCs w:val="24"/>
        </w:rPr>
      </w:pPr>
      <w:r w:rsidRPr="005F7A0A">
        <w:rPr>
          <w:rFonts w:ascii="Verdana" w:eastAsia="Times New Roman" w:hAnsi="Verdana" w:cs="Arial"/>
          <w:sz w:val="24"/>
          <w:szCs w:val="24"/>
        </w:rPr>
        <w:t> 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Ve čtvrtek příštího týdne budeme liturgicky slavit Ježíšovo nanebevstoupení.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 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Pokusme se o tomto tajemství víry uvažovat s pomocí biblických textů.</w:t>
      </w:r>
      <w:proofErr w:type="gramEnd"/>
    </w:p>
    <w:p w:rsidR="005F7A0A" w:rsidRPr="005F7A0A" w:rsidRDefault="005F7A0A" w:rsidP="005F7A0A">
      <w:pPr>
        <w:spacing w:after="288" w:line="240" w:lineRule="auto"/>
        <w:jc w:val="both"/>
        <w:rPr>
          <w:rFonts w:ascii="Verdana" w:eastAsia="Times New Roman" w:hAnsi="Verdana" w:cs="Arial"/>
          <w:sz w:val="24"/>
          <w:szCs w:val="24"/>
        </w:rPr>
      </w:pP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V šestnácté, poslední kapitole svého evangelia zachycuje Marek apoštolskou tradici o Kristově vzkříšení.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 Ale její nejstarší podobu zaznamenal apoštol Pavel: „Odevzdal jsem vám především, co jsem sám přijal, že Kristus zemřel za naše hříchy podle Písem a byl pohřben; byl vzkříšen třetího dne podle Písem, ukázal se Petrovi, potom Dvanácti. Poté se ukázal více než pěti stům bratří najednou; většina z nich je posud 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na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 živu, někteří však již zesnuli. Pak se ukázal Jakubovi, potom všem apoštolům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“ (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>1Kor 15,3-7). Pro Pavla bylo ve zvěsti o Vzkříšení obsaženo vše: spatření Vzkříšeného, neboť se mu ukázal naposledy jako nedochůdčeti (1Kor 15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,8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), vstoupení na nebesa, usednutí po Boží pravici i působení Ducha svatého, neboť Ježíš byl Duchem vzkříšen (1Tim 3,16). Když Pavel vyznává Vzkříšeného, vyznává jej jako Pána, vyznává, že přemohl všechny mocnosti, staví se pod jeho vládu, prožívá z Ducha svatého vnitřní proměnu, při které umírá starý člověk a v ospravedlnění se rodí nový, který je posílán k misijní službě. Hloubku a šíři tohoto vyznání, jež je u Pavla spojeno s křížem a vzkříšením, rozvádí pozdější tradice do vyznání o vstoupení 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na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 nebesa, seslání Ducha svatého a tyto skutečnosti spojuje s ustanovením křtu.</w:t>
      </w:r>
    </w:p>
    <w:p w:rsidR="005F7A0A" w:rsidRPr="005F7A0A" w:rsidRDefault="005F7A0A" w:rsidP="005F7A0A">
      <w:pPr>
        <w:spacing w:after="288" w:line="240" w:lineRule="auto"/>
        <w:jc w:val="both"/>
        <w:rPr>
          <w:rFonts w:ascii="Verdana" w:eastAsia="Times New Roman" w:hAnsi="Verdana" w:cs="Arial"/>
          <w:sz w:val="24"/>
          <w:szCs w:val="24"/>
        </w:rPr>
      </w:pPr>
      <w:r w:rsidRPr="005F7A0A">
        <w:rPr>
          <w:rFonts w:ascii="Verdana" w:eastAsia="Times New Roman" w:hAnsi="Verdana" w:cs="Arial"/>
          <w:sz w:val="24"/>
          <w:szCs w:val="24"/>
        </w:rPr>
        <w:t xml:space="preserve">V Ježíšově zmrtvýchvstání došlo ke splnění Božího plánu spásy a k vítězství 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nad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 smrtí. Nikoli „plošně“ nebo nějakým výběrem, ale na jednom člověku, Ježíši Kristu, kterého Bůh Otec potvrdil darem nového života jako k počátek nového stvoření. Vzkříšení je událost eschatologická, směřující do budoucnosti, a jedná v ní sám transcendentní, tj. 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přesažný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 Bůh – způsobem přesahujícím možnosti smyslového vnímání i rozumového uchopení. Víru ve vzkříšení vzbuzuje podle evangelií teprve sám zmrtvýchvstalý Pán, když se </w:t>
      </w:r>
      <w:r w:rsidRPr="005F7A0A">
        <w:rPr>
          <w:rFonts w:ascii="Verdana" w:eastAsia="Times New Roman" w:hAnsi="Verdana" w:cs="Arial"/>
          <w:sz w:val="24"/>
          <w:szCs w:val="24"/>
        </w:rPr>
        <w:lastRenderedPageBreak/>
        <w:t xml:space="preserve">setká nejprve s jednotlivci, například se ženami nebo s „jedenácti“, a dává se jim poznat. Přesto zůstávají pochybnosti, zda je to skutečně 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On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 a ne přelud, zda Bůh je opravdu mocnější než smrt a zlo, které ji způsobilo. 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Chybí zkušenost a víra je slabá.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 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A tak v závěru Markova evangelia čteme, že Zmrtvýchvstalý při setkání s vystrašenými učedníky kárá jejich nevíru a tvrdost srdce.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  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Evangelium podle Matouše uvádí zase, že při setkání se mu jedenáct učedníků klanělo, někteří však měli pochybnosti.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 Janovo evangelium uvádí příběh „nevěřícího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“ Tomáše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 a Lukáš píše o zděšení a strachu učedníků, poněvadž se domnívali, že vidí ducha. 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Sám Zmrtvýchvstalý je musí vyzvat, aby se ho dotkli a přesvědčili se.</w:t>
      </w:r>
      <w:proofErr w:type="gramEnd"/>
    </w:p>
    <w:p w:rsidR="005F7A0A" w:rsidRPr="005F7A0A" w:rsidRDefault="005F7A0A" w:rsidP="005F7A0A">
      <w:pPr>
        <w:spacing w:after="288" w:line="240" w:lineRule="auto"/>
        <w:jc w:val="both"/>
        <w:rPr>
          <w:rFonts w:ascii="Verdana" w:eastAsia="Times New Roman" w:hAnsi="Verdana" w:cs="Arial"/>
          <w:sz w:val="24"/>
          <w:szCs w:val="24"/>
        </w:rPr>
      </w:pP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Motiv víry a nevíry patří nepochybně k hlavním motivům v závěru evangelií.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 Výtka, že učedníci nevěřili těm, kdo jej viděli vzkříšeného, připomíná tomášovský motiv: „Blahoslavení, kteří neviděli a uvěřili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“ (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J 20, 24-29). Dochází k nové situaci, kdy už se Vzkříšený nebude na této zemi zjevovat „tělesně“ až do svého druhého příchodu a víra v něho bude založena pouze na svědectví prvních svědků; ti jsou posláni kázat evangelium všemu stvoření. 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Ale také je Pán upozorňuje, že jejich zvěsti uvěří někteří a jiní ne.</w:t>
      </w:r>
      <w:proofErr w:type="gramEnd"/>
    </w:p>
    <w:p w:rsidR="005F7A0A" w:rsidRPr="005F7A0A" w:rsidRDefault="005F7A0A" w:rsidP="005F7A0A">
      <w:pPr>
        <w:spacing w:after="288" w:line="240" w:lineRule="auto"/>
        <w:jc w:val="both"/>
        <w:rPr>
          <w:rFonts w:ascii="Verdana" w:eastAsia="Times New Roman" w:hAnsi="Verdana" w:cs="Arial"/>
          <w:sz w:val="24"/>
          <w:szCs w:val="24"/>
        </w:rPr>
      </w:pPr>
      <w:r w:rsidRPr="005F7A0A">
        <w:rPr>
          <w:rFonts w:ascii="Verdana" w:eastAsia="Times New Roman" w:hAnsi="Verdana" w:cs="Arial"/>
          <w:sz w:val="24"/>
          <w:szCs w:val="24"/>
        </w:rPr>
        <w:t xml:space="preserve">V této souvislosti dochází ještě k dalšímu posunu, když se pozornost přestává soustřeďovat 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na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 událost v hrobě a přenáší se na Pána, který se ujímá vlády: byl vzat vzhůru do nebe a posadil se po Boží pravici.</w:t>
      </w:r>
    </w:p>
    <w:p w:rsidR="005F7A0A" w:rsidRPr="005F7A0A" w:rsidRDefault="005F7A0A" w:rsidP="005F7A0A">
      <w:pPr>
        <w:spacing w:after="288" w:line="240" w:lineRule="auto"/>
        <w:jc w:val="both"/>
        <w:rPr>
          <w:rFonts w:ascii="Verdana" w:eastAsia="Times New Roman" w:hAnsi="Verdana" w:cs="Arial"/>
          <w:sz w:val="24"/>
          <w:szCs w:val="24"/>
        </w:rPr>
      </w:pPr>
      <w:r w:rsidRPr="005F7A0A">
        <w:rPr>
          <w:rFonts w:ascii="Verdana" w:eastAsia="Times New Roman" w:hAnsi="Verdana" w:cs="Arial"/>
          <w:sz w:val="24"/>
          <w:szCs w:val="24"/>
        </w:rPr>
        <w:t>Nový zákon chce zvěstí o Kristově nanebevstoupení vyjádřit nevyjádřitelné; užívá přitom výrazových prostředků, převzatých ze Starého zákona, z příběhu o nanebevzetí Eliáše (2 Kr 2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,11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) a zvláště ze stodesátého žalmu. Vznikající církev vidí zaslíbení tohoto mesiánského žalmu naplněná 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na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 Ježíši Kristu:</w:t>
      </w:r>
    </w:p>
    <w:p w:rsidR="005F7A0A" w:rsidRPr="005F7A0A" w:rsidRDefault="005F7A0A" w:rsidP="005F7A0A">
      <w:pPr>
        <w:spacing w:after="288" w:line="240" w:lineRule="auto"/>
        <w:rPr>
          <w:rFonts w:ascii="Verdana" w:eastAsia="Times New Roman" w:hAnsi="Verdana" w:cs="Arial"/>
          <w:sz w:val="24"/>
          <w:szCs w:val="24"/>
        </w:rPr>
      </w:pPr>
      <w:r w:rsidRPr="005F7A0A">
        <w:rPr>
          <w:rFonts w:ascii="Verdana" w:eastAsia="Times New Roman" w:hAnsi="Verdana" w:cs="Arial"/>
          <w:i/>
          <w:iCs/>
          <w:sz w:val="24"/>
          <w:szCs w:val="24"/>
        </w:rPr>
        <w:t>Výrok Hospodinův mému pánu</w:t>
      </w:r>
      <w:proofErr w:type="gramStart"/>
      <w:r w:rsidRPr="005F7A0A">
        <w:rPr>
          <w:rFonts w:ascii="Verdana" w:eastAsia="Times New Roman" w:hAnsi="Verdana" w:cs="Arial"/>
          <w:i/>
          <w:iCs/>
          <w:sz w:val="24"/>
          <w:szCs w:val="24"/>
        </w:rPr>
        <w:t>:</w:t>
      </w:r>
      <w:proofErr w:type="gramEnd"/>
      <w:r w:rsidRPr="005F7A0A">
        <w:rPr>
          <w:rFonts w:ascii="Verdana" w:eastAsia="Times New Roman" w:hAnsi="Verdana" w:cs="Arial"/>
          <w:i/>
          <w:iCs/>
          <w:sz w:val="24"/>
          <w:szCs w:val="24"/>
        </w:rPr>
        <w:br/>
        <w:t>„Zasedni po mé pravici,</w:t>
      </w:r>
      <w:r w:rsidRPr="005F7A0A">
        <w:rPr>
          <w:rFonts w:ascii="Verdana" w:eastAsia="Times New Roman" w:hAnsi="Verdana" w:cs="Arial"/>
          <w:i/>
          <w:iCs/>
          <w:sz w:val="24"/>
          <w:szCs w:val="24"/>
        </w:rPr>
        <w:br/>
        <w:t>já ti položím tvé nepřátele za podnoží k nohám.“</w:t>
      </w:r>
      <w:r w:rsidRPr="005F7A0A">
        <w:rPr>
          <w:rFonts w:ascii="Verdana" w:eastAsia="Times New Roman" w:hAnsi="Verdana" w:cs="Arial"/>
          <w:i/>
          <w:iCs/>
          <w:sz w:val="24"/>
          <w:szCs w:val="24"/>
        </w:rPr>
        <w:br/>
      </w:r>
      <w:proofErr w:type="gramStart"/>
      <w:r w:rsidRPr="005F7A0A">
        <w:rPr>
          <w:rFonts w:ascii="Verdana" w:eastAsia="Times New Roman" w:hAnsi="Verdana" w:cs="Arial"/>
          <w:i/>
          <w:iCs/>
          <w:sz w:val="24"/>
          <w:szCs w:val="24"/>
        </w:rPr>
        <w:t>Hospodin vztáhne žezlo tvé moci ze Sijónu.</w:t>
      </w:r>
      <w:proofErr w:type="gramEnd"/>
      <w:r w:rsidRPr="005F7A0A">
        <w:rPr>
          <w:rFonts w:ascii="Verdana" w:eastAsia="Times New Roman" w:hAnsi="Verdana" w:cs="Arial"/>
          <w:i/>
          <w:iCs/>
          <w:sz w:val="24"/>
          <w:szCs w:val="24"/>
        </w:rPr>
        <w:br/>
        <w:t>Panuj uprostřed svých nepřátel!</w:t>
      </w:r>
      <w:r w:rsidRPr="005F7A0A">
        <w:rPr>
          <w:rFonts w:ascii="Verdana" w:eastAsia="Times New Roman" w:hAnsi="Verdana" w:cs="Arial"/>
          <w:i/>
          <w:iCs/>
          <w:sz w:val="24"/>
          <w:szCs w:val="24"/>
        </w:rPr>
        <w:br/>
        <w:t>Tvůj lid přijde dobrovolně v den, kdy pohotovost svoláš</w:t>
      </w:r>
      <w:proofErr w:type="gramStart"/>
      <w:r w:rsidRPr="005F7A0A">
        <w:rPr>
          <w:rFonts w:ascii="Verdana" w:eastAsia="Times New Roman" w:hAnsi="Verdana" w:cs="Arial"/>
          <w:i/>
          <w:iCs/>
          <w:sz w:val="24"/>
          <w:szCs w:val="24"/>
        </w:rPr>
        <w:t>;</w:t>
      </w:r>
      <w:proofErr w:type="gramEnd"/>
      <w:r w:rsidRPr="005F7A0A">
        <w:rPr>
          <w:rFonts w:ascii="Verdana" w:eastAsia="Times New Roman" w:hAnsi="Verdana" w:cs="Arial"/>
          <w:i/>
          <w:iCs/>
          <w:sz w:val="24"/>
          <w:szCs w:val="24"/>
        </w:rPr>
        <w:br/>
        <w:t>v nádheře svatyně jak rosa z lůna úsvitu se objeví tvé mužstvo.</w:t>
      </w:r>
      <w:r w:rsidRPr="005F7A0A">
        <w:rPr>
          <w:rFonts w:ascii="Verdana" w:eastAsia="Times New Roman" w:hAnsi="Verdana" w:cs="Arial"/>
          <w:i/>
          <w:iCs/>
          <w:sz w:val="24"/>
          <w:szCs w:val="24"/>
        </w:rPr>
        <w:br/>
        <w:t>Hospodin přísahal a nebude želet</w:t>
      </w:r>
      <w:proofErr w:type="gramStart"/>
      <w:r w:rsidRPr="005F7A0A">
        <w:rPr>
          <w:rFonts w:ascii="Verdana" w:eastAsia="Times New Roman" w:hAnsi="Verdana" w:cs="Arial"/>
          <w:i/>
          <w:iCs/>
          <w:sz w:val="24"/>
          <w:szCs w:val="24"/>
        </w:rPr>
        <w:t>:</w:t>
      </w:r>
      <w:proofErr w:type="gramEnd"/>
      <w:r w:rsidRPr="005F7A0A">
        <w:rPr>
          <w:rFonts w:ascii="Verdana" w:eastAsia="Times New Roman" w:hAnsi="Verdana" w:cs="Arial"/>
          <w:i/>
          <w:iCs/>
          <w:sz w:val="24"/>
          <w:szCs w:val="24"/>
        </w:rPr>
        <w:br/>
        <w:t>Ty jsi kněz navěky podle Malkísedekova řádu.</w:t>
      </w:r>
      <w:r w:rsidRPr="005F7A0A">
        <w:rPr>
          <w:rFonts w:ascii="Verdana" w:eastAsia="Times New Roman" w:hAnsi="Verdana" w:cs="Arial"/>
          <w:i/>
          <w:iCs/>
          <w:sz w:val="24"/>
          <w:szCs w:val="24"/>
        </w:rPr>
        <w:br/>
        <w:t>Panovník ti bude po pravici</w:t>
      </w:r>
      <w:proofErr w:type="gramStart"/>
      <w:r w:rsidRPr="005F7A0A">
        <w:rPr>
          <w:rFonts w:ascii="Verdana" w:eastAsia="Times New Roman" w:hAnsi="Verdana" w:cs="Arial"/>
          <w:i/>
          <w:iCs/>
          <w:sz w:val="24"/>
          <w:szCs w:val="24"/>
        </w:rPr>
        <w:t>,</w:t>
      </w:r>
      <w:proofErr w:type="gramEnd"/>
      <w:r w:rsidRPr="005F7A0A">
        <w:rPr>
          <w:rFonts w:ascii="Verdana" w:eastAsia="Times New Roman" w:hAnsi="Verdana" w:cs="Arial"/>
          <w:i/>
          <w:iCs/>
          <w:sz w:val="24"/>
          <w:szCs w:val="24"/>
        </w:rPr>
        <w:br/>
        <w:t>rozdrtí v den svého hněvu nepřátelské krále.</w:t>
      </w:r>
      <w:r w:rsidRPr="005F7A0A">
        <w:rPr>
          <w:rFonts w:ascii="Verdana" w:eastAsia="Times New Roman" w:hAnsi="Verdana" w:cs="Arial"/>
          <w:i/>
          <w:iCs/>
          <w:sz w:val="24"/>
          <w:szCs w:val="24"/>
        </w:rPr>
        <w:br/>
        <w:t>Bude soudit pronárody – plno mrtvol všude -</w:t>
      </w:r>
      <w:proofErr w:type="gramStart"/>
      <w:r w:rsidRPr="005F7A0A">
        <w:rPr>
          <w:rFonts w:ascii="Verdana" w:eastAsia="Times New Roman" w:hAnsi="Verdana" w:cs="Arial"/>
          <w:i/>
          <w:iCs/>
          <w:sz w:val="24"/>
          <w:szCs w:val="24"/>
        </w:rPr>
        <w:t>,</w:t>
      </w:r>
      <w:proofErr w:type="gramEnd"/>
      <w:r w:rsidRPr="005F7A0A">
        <w:rPr>
          <w:rFonts w:ascii="Verdana" w:eastAsia="Times New Roman" w:hAnsi="Verdana" w:cs="Arial"/>
          <w:i/>
          <w:iCs/>
          <w:sz w:val="24"/>
          <w:szCs w:val="24"/>
        </w:rPr>
        <w:br/>
        <w:t>on rozdrtí hlavu velké země.</w:t>
      </w:r>
      <w:r w:rsidRPr="005F7A0A">
        <w:rPr>
          <w:rFonts w:ascii="Verdana" w:eastAsia="Times New Roman" w:hAnsi="Verdana" w:cs="Arial"/>
          <w:i/>
          <w:iCs/>
          <w:sz w:val="24"/>
          <w:szCs w:val="24"/>
        </w:rPr>
        <w:br/>
        <w:t>Cestou z potoka pít bude</w:t>
      </w:r>
      <w:proofErr w:type="gramStart"/>
      <w:r w:rsidRPr="005F7A0A">
        <w:rPr>
          <w:rFonts w:ascii="Verdana" w:eastAsia="Times New Roman" w:hAnsi="Verdana" w:cs="Arial"/>
          <w:i/>
          <w:iCs/>
          <w:sz w:val="24"/>
          <w:szCs w:val="24"/>
        </w:rPr>
        <w:t>,</w:t>
      </w:r>
      <w:proofErr w:type="gramEnd"/>
      <w:r w:rsidRPr="005F7A0A">
        <w:rPr>
          <w:rFonts w:ascii="Verdana" w:eastAsia="Times New Roman" w:hAnsi="Verdana" w:cs="Arial"/>
          <w:i/>
          <w:iCs/>
          <w:sz w:val="24"/>
          <w:szCs w:val="24"/>
        </w:rPr>
        <w:br/>
        <w:t>proto vztyčí hlavu.</w:t>
      </w:r>
    </w:p>
    <w:p w:rsidR="005F7A0A" w:rsidRPr="005F7A0A" w:rsidRDefault="005F7A0A" w:rsidP="005F7A0A">
      <w:pPr>
        <w:spacing w:after="288" w:line="240" w:lineRule="auto"/>
        <w:jc w:val="both"/>
        <w:rPr>
          <w:rFonts w:ascii="Verdana" w:eastAsia="Times New Roman" w:hAnsi="Verdana" w:cs="Arial"/>
          <w:sz w:val="24"/>
          <w:szCs w:val="24"/>
        </w:rPr>
      </w:pPr>
      <w:r w:rsidRPr="005F7A0A">
        <w:rPr>
          <w:rFonts w:ascii="Verdana" w:eastAsia="Times New Roman" w:hAnsi="Verdana" w:cs="Arial"/>
          <w:sz w:val="24"/>
          <w:szCs w:val="24"/>
        </w:rPr>
        <w:lastRenderedPageBreak/>
        <w:t>Jednotlivé motivy, s jejichž ohlasem se v Novém zákoně setkáváme, lze seřadit do tří skupin takto:</w:t>
      </w:r>
    </w:p>
    <w:p w:rsidR="005F7A0A" w:rsidRPr="005F7A0A" w:rsidRDefault="005F7A0A" w:rsidP="005F7A0A">
      <w:pPr>
        <w:spacing w:after="288" w:line="240" w:lineRule="auto"/>
        <w:jc w:val="both"/>
        <w:rPr>
          <w:rFonts w:ascii="Verdana" w:eastAsia="Times New Roman" w:hAnsi="Verdana" w:cs="Arial"/>
          <w:sz w:val="24"/>
          <w:szCs w:val="24"/>
        </w:rPr>
      </w:pPr>
      <w:r w:rsidRPr="005F7A0A">
        <w:rPr>
          <w:rFonts w:ascii="Verdana" w:eastAsia="Times New Roman" w:hAnsi="Verdana" w:cs="Arial"/>
          <w:sz w:val="24"/>
          <w:szCs w:val="24"/>
        </w:rPr>
        <w:t>a) Usednutí po Boží pravici (existuje řada míst v NZ: Mt 26,64; Sk 2,34; Ř 8,34; Ef 1,20; Žd 1,13;; 8,1; 10,12; 1 Pt 3,22)</w:t>
      </w:r>
    </w:p>
    <w:p w:rsidR="005F7A0A" w:rsidRPr="005F7A0A" w:rsidRDefault="005F7A0A" w:rsidP="005F7A0A">
      <w:pPr>
        <w:spacing w:after="288" w:line="240" w:lineRule="auto"/>
        <w:jc w:val="both"/>
        <w:rPr>
          <w:rFonts w:ascii="Verdana" w:eastAsia="Times New Roman" w:hAnsi="Verdana" w:cs="Arial"/>
          <w:sz w:val="24"/>
          <w:szCs w:val="24"/>
        </w:rPr>
      </w:pPr>
      <w:r w:rsidRPr="005F7A0A">
        <w:rPr>
          <w:rFonts w:ascii="Verdana" w:eastAsia="Times New Roman" w:hAnsi="Verdana" w:cs="Arial"/>
          <w:sz w:val="24"/>
          <w:szCs w:val="24"/>
        </w:rPr>
        <w:t>b) Kněz podle řádu Malkísedekova (Žd 5,6nn; 7,1nn)</w:t>
      </w:r>
    </w:p>
    <w:p w:rsidR="005F7A0A" w:rsidRPr="005F7A0A" w:rsidRDefault="005F7A0A" w:rsidP="005F7A0A">
      <w:pPr>
        <w:spacing w:after="288" w:line="240" w:lineRule="auto"/>
        <w:jc w:val="both"/>
        <w:rPr>
          <w:rFonts w:ascii="Verdana" w:eastAsia="Times New Roman" w:hAnsi="Verdana" w:cs="Arial"/>
          <w:sz w:val="24"/>
          <w:szCs w:val="24"/>
        </w:rPr>
      </w:pPr>
      <w:r w:rsidRPr="005F7A0A">
        <w:rPr>
          <w:rFonts w:ascii="Verdana" w:eastAsia="Times New Roman" w:hAnsi="Verdana" w:cs="Arial"/>
          <w:sz w:val="24"/>
          <w:szCs w:val="24"/>
        </w:rPr>
        <w:t>c) Přemožení nepřátel (Sk 2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,35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>; 1 Kor 15,25; Žd 1,3; 10,13)</w:t>
      </w:r>
    </w:p>
    <w:p w:rsidR="005F7A0A" w:rsidRPr="005F7A0A" w:rsidRDefault="005F7A0A" w:rsidP="005F7A0A">
      <w:pPr>
        <w:spacing w:after="288" w:line="240" w:lineRule="auto"/>
        <w:jc w:val="both"/>
        <w:rPr>
          <w:rFonts w:ascii="Verdana" w:eastAsia="Times New Roman" w:hAnsi="Verdana" w:cs="Arial"/>
          <w:sz w:val="24"/>
          <w:szCs w:val="24"/>
        </w:rPr>
      </w:pPr>
      <w:r w:rsidRPr="005F7A0A">
        <w:rPr>
          <w:rFonts w:ascii="Verdana" w:eastAsia="Times New Roman" w:hAnsi="Verdana" w:cs="Arial"/>
          <w:sz w:val="24"/>
          <w:szCs w:val="24"/>
        </w:rPr>
        <w:t>Pavel a Matouš neuvádějí Kristovo „usednutí po pravici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“ do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 souvislosti s nanebevstoupením, jak to činí Marek a Lukáš.</w:t>
      </w:r>
    </w:p>
    <w:p w:rsidR="005F7A0A" w:rsidRPr="005F7A0A" w:rsidRDefault="005F7A0A" w:rsidP="005F7A0A">
      <w:pPr>
        <w:spacing w:after="288" w:line="240" w:lineRule="auto"/>
        <w:jc w:val="both"/>
        <w:rPr>
          <w:rFonts w:ascii="Verdana" w:eastAsia="Times New Roman" w:hAnsi="Verdana" w:cs="Arial"/>
          <w:sz w:val="24"/>
          <w:szCs w:val="24"/>
        </w:rPr>
      </w:pPr>
      <w:r w:rsidRPr="005F7A0A">
        <w:rPr>
          <w:rFonts w:ascii="Verdana" w:eastAsia="Times New Roman" w:hAnsi="Verdana" w:cs="Arial"/>
          <w:sz w:val="24"/>
          <w:szCs w:val="24"/>
        </w:rPr>
        <w:t>Obrat „byl vzat vzhůru do nebe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“ neumisťuje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 Ježíše do nadzemského prostoru, nýbrž mluví o jeho totožnosti s Bohem, o všeobecnosti a nezrušitelnosti jeho vlády. Můžeme si připomenout slova andělova zvěstování z Lukášova evangelia: „Ten bude veliký a bude nazván synem Nejvyššího a Pán Bůh mu dá trůn jeho otce Davida. Na věky bude kralovat na rodem Jákobovým a jeho království nebude konce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“ (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>Lk 1,32-33).</w:t>
      </w:r>
    </w:p>
    <w:p w:rsidR="005F7A0A" w:rsidRPr="005F7A0A" w:rsidRDefault="005F7A0A" w:rsidP="005F7A0A">
      <w:pPr>
        <w:spacing w:after="288" w:line="240" w:lineRule="auto"/>
        <w:jc w:val="both"/>
        <w:rPr>
          <w:rFonts w:ascii="Verdana" w:eastAsia="Times New Roman" w:hAnsi="Verdana" w:cs="Arial"/>
          <w:sz w:val="24"/>
          <w:szCs w:val="24"/>
        </w:rPr>
      </w:pPr>
      <w:r w:rsidRPr="005F7A0A">
        <w:rPr>
          <w:rFonts w:ascii="Verdana" w:eastAsia="Times New Roman" w:hAnsi="Verdana" w:cs="Arial"/>
          <w:sz w:val="24"/>
          <w:szCs w:val="24"/>
        </w:rPr>
        <w:t xml:space="preserve">Protože Kristus vstoupil na nebesa a usedl po Boží pravici – Jan hovoří o Ježíšově odchodu k Otci 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– ,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 má právo dávat příkazy a zaslíbení. 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K příkazům patří předně výzva „kázat evangelium všemu stvoření“.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 V Markově evangeliu (Mk 16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,16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>) je také výslovně řečeno, že přijetí nebo odmítnutí Krista rozhoduje o lidském osudu. Pokud jde o zaslíbení, čteme u Marka hned dále: „Ty, kdo uvěří, budou provázet tato znamení: Ve jménu mém budou vyhánět démony a mluvit novými jazyky; budou brát hady do rukou, a vypijí-li něco smrtícího, nic se jim nestane; na choré budou vzkládat ruce a uzdraví je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“ (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Mk 16, 17-18). 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U Lukáše ve Skutcích je apoštolům slíben „křest Duchem svatým“.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 „Dostanete sílu Ducha svatého, který na vás sestoupí, a budete mi svědky v Jeruzalémě a v celém Judsku, Samařsku a až na sám konec země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“ (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>Sk 1,8).</w:t>
      </w:r>
    </w:p>
    <w:p w:rsidR="005F7A0A" w:rsidRPr="005F7A0A" w:rsidRDefault="005F7A0A" w:rsidP="005F7A0A">
      <w:pPr>
        <w:spacing w:after="288" w:line="240" w:lineRule="auto"/>
        <w:jc w:val="both"/>
        <w:rPr>
          <w:rFonts w:ascii="Verdana" w:eastAsia="Times New Roman" w:hAnsi="Verdana" w:cs="Arial"/>
          <w:sz w:val="24"/>
          <w:szCs w:val="24"/>
        </w:rPr>
      </w:pPr>
      <w:r w:rsidRPr="005F7A0A">
        <w:rPr>
          <w:rFonts w:ascii="Verdana" w:eastAsia="Times New Roman" w:hAnsi="Verdana" w:cs="Arial"/>
          <w:sz w:val="24"/>
          <w:szCs w:val="24"/>
        </w:rPr>
        <w:t>První církvi byla víra v Ježíšovo nanebevstoupení zdrojem misijního elánu; „Oni pak vyšli, všude kázali a Pán s nimi působil a jejich slovo potvrzoval znameními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“ (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>Mk 16,20).</w:t>
      </w:r>
    </w:p>
    <w:p w:rsidR="005F7A0A" w:rsidRPr="005F7A0A" w:rsidRDefault="005F7A0A" w:rsidP="005F7A0A">
      <w:pPr>
        <w:spacing w:after="288" w:line="240" w:lineRule="auto"/>
        <w:jc w:val="both"/>
        <w:rPr>
          <w:rFonts w:ascii="Verdana" w:eastAsia="Times New Roman" w:hAnsi="Verdana" w:cs="Arial"/>
          <w:sz w:val="24"/>
          <w:szCs w:val="24"/>
        </w:rPr>
      </w:pP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Zvěst o Ježíšově nanebevstoupení a usednutí po Boží pravici byla v Novém zákoně rozvíjena různým směrem.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 S ohledem na to, že řada zjevení Zmrtvýchvstalého skončila a víra nadále vznikala a rostla především svědectvím učedníků, zapracoval například Lukáš tuto skutečnost originálně do rámce dějin spásy, v nichž má své zvláštní místo vyprávění o čtyřiceti dnech od Kristova vzkříšení po nanebevstoupení.</w:t>
      </w:r>
    </w:p>
    <w:p w:rsidR="005F7A0A" w:rsidRPr="005F7A0A" w:rsidRDefault="005F7A0A" w:rsidP="005F7A0A">
      <w:pPr>
        <w:spacing w:after="288" w:line="240" w:lineRule="auto"/>
        <w:jc w:val="both"/>
        <w:rPr>
          <w:rFonts w:ascii="Verdana" w:eastAsia="Times New Roman" w:hAnsi="Verdana" w:cs="Arial"/>
          <w:sz w:val="24"/>
          <w:szCs w:val="24"/>
        </w:rPr>
      </w:pPr>
      <w:proofErr w:type="gramStart"/>
      <w:r w:rsidRPr="005F7A0A">
        <w:rPr>
          <w:rFonts w:ascii="Verdana" w:eastAsia="Times New Roman" w:hAnsi="Verdana" w:cs="Arial"/>
          <w:sz w:val="24"/>
          <w:szCs w:val="24"/>
        </w:rPr>
        <w:lastRenderedPageBreak/>
        <w:t>O Ježíšově nanebevstoupení podávají zprávu již poslední čtyři verše Lukášova evangelia.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 Na rozdíl 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od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 Skutků apoštolů jsou tam události datovány o Velikonocích a situovány do blízkosti Betanie. V Lukášově textu (Lk 24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,50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>-53), který se opírá o Sirachovce (Sir 50, 20-22), jde o požehnání, klanění a chválu Boha. Text o nanebevstoupení ve Skutcích apoštolů (Sk 1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,9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-11) zdůrazňuje především očité svědectví apoštolů a s tím související jistotu Ježíšova opětovného příchodu. 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Několikrát se v tomto krátkém odstavci připomíná, že apoštolé hleděli a viděli.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 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Formou vyprávění tu líčí Lukáš očité svědectví apoštolů, a tedy spolehlivost apoštolské tradice.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 Oblak je zde symbolem přítomnosti Boha, podobně jako při proměnění Páně 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na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 hoře. Tato zmínka navazuje na text z proroka Daniela (Dan 7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,13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-14). Ježíš, který se ukrývá před pohledy, který je vyvýšen do plnosti Božího života, je Syn člověka, který znovu přijde. 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Jemu je dána veškerá moc a jemu musí sloužit všechny národy.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 „Jeho vladařská moc je moc věčná, která nepomine, a jeho království nebude zničeno“, čteme u Daniela (7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,14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>).</w:t>
      </w:r>
    </w:p>
    <w:p w:rsidR="005F7A0A" w:rsidRPr="005F7A0A" w:rsidRDefault="005F7A0A" w:rsidP="005F7A0A">
      <w:pPr>
        <w:spacing w:after="288" w:line="240" w:lineRule="auto"/>
        <w:jc w:val="both"/>
        <w:rPr>
          <w:rFonts w:ascii="Verdana" w:eastAsia="Times New Roman" w:hAnsi="Verdana" w:cs="Arial"/>
          <w:sz w:val="24"/>
          <w:szCs w:val="24"/>
        </w:rPr>
      </w:pPr>
      <w:r w:rsidRPr="005F7A0A">
        <w:rPr>
          <w:rFonts w:ascii="Verdana" w:eastAsia="Times New Roman" w:hAnsi="Verdana" w:cs="Arial"/>
          <w:sz w:val="24"/>
          <w:szCs w:val="24"/>
        </w:rPr>
        <w:t>Podobně jako u Ježíšova hrobu (Lk 24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,5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>) vkládá Lukáš i zde otázku do úst mužům v bílém rouchu, kteří vypadají jako andělé. Na obou místech je nesprávné a nedostatečné chápání učedníků korigováno otázkou: „Co tu stojíte a hledíte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?“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 Učedníci nemají stát a hledět do 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nebe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>. Namísto toho je třeba vydat se na cestu, aby se mohlo naplňovat zaslíbení i úkol: „Dostanete sílu Ducha svatého, který na vás sestoupí, a budete mi svědky v Jeruzalémě a v celém Judsku, Samařsku a až na sám konec země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“ (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Sk 1,8). Přitom se nikdy nesmí zapomenout, že Pán církve přijde na konci časů tak jistě a zjevně, jak to zaručuje očité 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svědectví .</w:t>
      </w:r>
      <w:proofErr w:type="gramEnd"/>
    </w:p>
    <w:p w:rsidR="005F7A0A" w:rsidRPr="005F7A0A" w:rsidRDefault="005F7A0A" w:rsidP="005F7A0A">
      <w:pPr>
        <w:spacing w:after="288" w:line="240" w:lineRule="auto"/>
        <w:jc w:val="both"/>
        <w:rPr>
          <w:rFonts w:ascii="Verdana" w:eastAsia="Times New Roman" w:hAnsi="Verdana" w:cs="Arial"/>
          <w:sz w:val="24"/>
          <w:szCs w:val="24"/>
        </w:rPr>
      </w:pP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Na závěr můžeme ještě shrnout.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 Pozadím Ježíšova nanebevstoupení ve vyprávění podle Lukáše je velikonoční poznání prvních křesťanů: ukřižovaný Ježíš žije! To je jádrem křesťanské víry: Bůh Ježíše vzkřísil! Blízkost Vzkříšeného vnímali první křesťané tak silně, že o něm mohli říci: „Byl uveden do moci Božího Syna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“ (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Ř 1,4). „Bůh našich otců vzkřísil 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Ježíše, …toho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 Bůh vyvýšil jako vůdce a spasitele a dal mu místo po své pravici“ (Sk 5,30.31). </w:t>
      </w:r>
      <w:proofErr w:type="gramStart"/>
      <w:r w:rsidRPr="005F7A0A">
        <w:rPr>
          <w:rFonts w:ascii="Verdana" w:eastAsia="Times New Roman" w:hAnsi="Verdana" w:cs="Arial"/>
          <w:sz w:val="24"/>
          <w:szCs w:val="24"/>
        </w:rPr>
        <w:t>Stále znovu se o tomto rozhodujícím Božím spásném činu přemýšlí, medituje, stále znovu se hlásá.</w:t>
      </w:r>
      <w:proofErr w:type="gramEnd"/>
      <w:r w:rsidRPr="005F7A0A">
        <w:rPr>
          <w:rFonts w:ascii="Verdana" w:eastAsia="Times New Roman" w:hAnsi="Verdana" w:cs="Arial"/>
          <w:sz w:val="24"/>
          <w:szCs w:val="24"/>
        </w:rPr>
        <w:t xml:space="preserve"> Lukáš tvoří své výpovědi o nanebevstoupení z velikonoční víry v přijetí Ježíše do Boží moci, slávy a věčného života. Používá přitom starobylých obrazů a představ o vytržení do nebes a cestě do nebes.</w:t>
      </w:r>
    </w:p>
    <w:p w:rsidR="00577FD2" w:rsidRDefault="005F7A0A" w:rsidP="005F7A0A">
      <w:pPr>
        <w:jc w:val="both"/>
      </w:pPr>
      <w:r>
        <w:rPr>
          <w:rFonts w:ascii="Verdana" w:hAnsi="Verdana"/>
          <w:b/>
          <w:i/>
          <w:sz w:val="24"/>
          <w:szCs w:val="24"/>
        </w:rPr>
        <w:t>Zdroj</w:t>
      </w:r>
      <w:r w:rsidRPr="00FA6E9D">
        <w:rPr>
          <w:rFonts w:ascii="Verdana" w:hAnsi="Verdana"/>
          <w:b/>
          <w:i/>
          <w:sz w:val="24"/>
          <w:szCs w:val="24"/>
        </w:rPr>
        <w:t xml:space="preserve">: </w:t>
      </w:r>
      <w:hyperlink r:id="rId8" w:history="1">
        <w:r w:rsidRPr="00FA6E9D">
          <w:rPr>
            <w:rStyle w:val="Hyperlink"/>
            <w:rFonts w:ascii="Verdana" w:hAnsi="Verdana"/>
            <w:sz w:val="24"/>
            <w:szCs w:val="24"/>
          </w:rPr>
          <w:t>Nanebevstoupení Páně - České katolické biblické dílo (biblickedilo.cz)</w:t>
        </w:r>
      </w:hyperlink>
    </w:p>
    <w:p w:rsidR="005F7A0A" w:rsidRPr="005F7A0A" w:rsidRDefault="005F7A0A" w:rsidP="005F7A0A">
      <w:pPr>
        <w:jc w:val="both"/>
        <w:rPr>
          <w:rFonts w:ascii="Verdana" w:hAnsi="Verdana"/>
          <w:b/>
          <w:i/>
          <w:sz w:val="24"/>
          <w:szCs w:val="24"/>
        </w:rPr>
      </w:pPr>
    </w:p>
    <w:sectPr w:rsidR="005F7A0A" w:rsidRPr="005F7A0A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A77" w:rsidRDefault="00C34A77" w:rsidP="005F7A0A">
      <w:pPr>
        <w:spacing w:after="0" w:line="240" w:lineRule="auto"/>
      </w:pPr>
      <w:r>
        <w:separator/>
      </w:r>
    </w:p>
  </w:endnote>
  <w:endnote w:type="continuationSeparator" w:id="0">
    <w:p w:rsidR="00C34A77" w:rsidRDefault="00C34A77" w:rsidP="005F7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00838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F7A0A" w:rsidRDefault="005F7A0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4C4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F7A0A" w:rsidRDefault="005F7A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A77" w:rsidRDefault="00C34A77" w:rsidP="005F7A0A">
      <w:pPr>
        <w:spacing w:after="0" w:line="240" w:lineRule="auto"/>
      </w:pPr>
      <w:r>
        <w:separator/>
      </w:r>
    </w:p>
  </w:footnote>
  <w:footnote w:type="continuationSeparator" w:id="0">
    <w:p w:rsidR="00C34A77" w:rsidRDefault="00C34A77" w:rsidP="005F7A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A0A"/>
    <w:rsid w:val="00521925"/>
    <w:rsid w:val="00577FD2"/>
    <w:rsid w:val="005F7A0A"/>
    <w:rsid w:val="00642B7D"/>
    <w:rsid w:val="007F4C41"/>
    <w:rsid w:val="00C34A77"/>
    <w:rsid w:val="00FA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F7A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5F7A0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7A0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5F7A0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F7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F7A0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F7A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A0A"/>
  </w:style>
  <w:style w:type="paragraph" w:styleId="Footer">
    <w:name w:val="footer"/>
    <w:basedOn w:val="Normal"/>
    <w:link w:val="FooterChar"/>
    <w:uiPriority w:val="99"/>
    <w:unhideWhenUsed/>
    <w:rsid w:val="005F7A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A0A"/>
  </w:style>
  <w:style w:type="character" w:styleId="Hyperlink">
    <w:name w:val="Hyperlink"/>
    <w:basedOn w:val="DefaultParagraphFont"/>
    <w:uiPriority w:val="99"/>
    <w:semiHidden/>
    <w:unhideWhenUsed/>
    <w:rsid w:val="005F7A0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C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F7A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5F7A0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7A0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5F7A0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F7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F7A0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F7A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A0A"/>
  </w:style>
  <w:style w:type="paragraph" w:styleId="Footer">
    <w:name w:val="footer"/>
    <w:basedOn w:val="Normal"/>
    <w:link w:val="FooterChar"/>
    <w:uiPriority w:val="99"/>
    <w:unhideWhenUsed/>
    <w:rsid w:val="005F7A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A0A"/>
  </w:style>
  <w:style w:type="character" w:styleId="Hyperlink">
    <w:name w:val="Hyperlink"/>
    <w:basedOn w:val="DefaultParagraphFont"/>
    <w:uiPriority w:val="99"/>
    <w:semiHidden/>
    <w:unhideWhenUsed/>
    <w:rsid w:val="005F7A0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C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57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2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13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78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8920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424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3620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0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ckedilo.cz/nabidka-materialu/bible-v-liturgii/liturgicky-rok-a/nanebevstoupeni-pan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5</cp:revision>
  <cp:lastPrinted>2023-05-10T11:03:00Z</cp:lastPrinted>
  <dcterms:created xsi:type="dcterms:W3CDTF">2023-05-08T15:02:00Z</dcterms:created>
  <dcterms:modified xsi:type="dcterms:W3CDTF">2023-05-10T11:16:00Z</dcterms:modified>
</cp:coreProperties>
</file>