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AE1" w:rsidRPr="00DF4AE1" w:rsidRDefault="002D03D7" w:rsidP="00DF4AE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32"/>
          <w:szCs w:val="32"/>
          <w:lang w:eastAsia="cs-CZ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6744248" wp14:editId="051F765D">
            <wp:simplePos x="0" y="0"/>
            <wp:positionH relativeFrom="column">
              <wp:posOffset>2808605</wp:posOffset>
            </wp:positionH>
            <wp:positionV relativeFrom="paragraph">
              <wp:posOffset>-189230</wp:posOffset>
            </wp:positionV>
            <wp:extent cx="3091180" cy="4176395"/>
            <wp:effectExtent l="0" t="0" r="0" b="0"/>
            <wp:wrapSquare wrapText="bothSides"/>
            <wp:docPr id="25" name="Obrázek 25" descr="Ludgerov relikviář v katedrále Ludgerus v Billerbec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udgerov relikviář v katedrále Ludgerus v Billerbeck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417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AE1" w:rsidRPr="00DF4AE1">
        <w:rPr>
          <w:rFonts w:ascii="Verdana" w:eastAsia="Times New Roman" w:hAnsi="Verdana" w:cs="Times New Roman"/>
          <w:b/>
          <w:bCs/>
          <w:color w:val="6A0028"/>
          <w:sz w:val="32"/>
          <w:szCs w:val="32"/>
          <w:lang w:eastAsia="cs-CZ"/>
        </w:rPr>
        <w:t xml:space="preserve">sv. </w:t>
      </w:r>
      <w:proofErr w:type="spellStart"/>
      <w:r w:rsidR="00DF4AE1" w:rsidRPr="00DF4AE1">
        <w:rPr>
          <w:rFonts w:ascii="Verdana" w:eastAsia="Times New Roman" w:hAnsi="Verdana" w:cs="Times New Roman"/>
          <w:b/>
          <w:bCs/>
          <w:color w:val="6A0028"/>
          <w:sz w:val="32"/>
          <w:szCs w:val="32"/>
          <w:lang w:eastAsia="cs-CZ"/>
        </w:rPr>
        <w:t>Liudger</w:t>
      </w:r>
      <w:proofErr w:type="spellEnd"/>
      <w:r>
        <w:rPr>
          <w:rFonts w:ascii="Verdana" w:eastAsia="Times New Roman" w:hAnsi="Verdana" w:cs="Times New Roman"/>
          <w:b/>
          <w:bCs/>
          <w:color w:val="6A0028"/>
          <w:sz w:val="32"/>
          <w:szCs w:val="32"/>
          <w:lang w:eastAsia="cs-CZ"/>
        </w:rPr>
        <w:t xml:space="preserve">  </w:t>
      </w:r>
    </w:p>
    <w:p w:rsidR="00DF4AE1" w:rsidRDefault="00DF4AE1" w:rsidP="00DF4AE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60033"/>
          <w:sz w:val="24"/>
          <w:szCs w:val="24"/>
          <w:lang w:eastAsia="cs-CZ"/>
        </w:rPr>
      </w:pPr>
      <w:proofErr w:type="spellStart"/>
      <w:r w:rsidRPr="0038193D">
        <w:rPr>
          <w:rFonts w:ascii="Times New Roman" w:eastAsia="Times New Roman" w:hAnsi="Times New Roman" w:cs="Times New Roman"/>
          <w:color w:val="660033"/>
          <w:sz w:val="24"/>
          <w:szCs w:val="24"/>
          <w:lang w:eastAsia="cs-CZ"/>
        </w:rPr>
        <w:t>Liudgerus</w:t>
      </w:r>
      <w:proofErr w:type="spellEnd"/>
    </w:p>
    <w:p w:rsidR="002D03D7" w:rsidRPr="002D03D7" w:rsidRDefault="002D03D7" w:rsidP="00DF4AE1">
      <w:pPr>
        <w:spacing w:after="100" w:afterAutospacing="1" w:line="240" w:lineRule="auto"/>
        <w:jc w:val="both"/>
        <w:rPr>
          <w:rFonts w:ascii="Verdana" w:eastAsia="Times New Roman" w:hAnsi="Verdana" w:cs="Times New Roman"/>
          <w:b/>
          <w:color w:val="C00000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b/>
          <w:color w:val="C00000"/>
          <w:sz w:val="24"/>
          <w:szCs w:val="24"/>
          <w:lang w:eastAsia="cs-CZ"/>
        </w:rPr>
        <w:t>Zpracoval: Jan Chlumský</w:t>
      </w:r>
    </w:p>
    <w:p w:rsidR="00DF4AE1" w:rsidRPr="00DF4AE1" w:rsidRDefault="00DF4AE1" w:rsidP="00DF4AE1">
      <w:pPr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26. března, připomínka</w:t>
      </w:r>
    </w:p>
    <w:p w:rsidR="00DF4AE1" w:rsidRPr="00DF4AE1" w:rsidRDefault="00DF4AE1" w:rsidP="00DF4AE1">
      <w:pPr>
        <w:tabs>
          <w:tab w:val="left" w:pos="1292"/>
        </w:tabs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DF4AE1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cs-CZ"/>
        </w:rPr>
        <w:t>Postavení:</w:t>
      </w:r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ab/>
        <w:t>biskup OSB</w:t>
      </w:r>
    </w:p>
    <w:p w:rsidR="00DF4AE1" w:rsidRPr="00DF4AE1" w:rsidRDefault="00DF4AE1" w:rsidP="00DF4AE1">
      <w:pPr>
        <w:tabs>
          <w:tab w:val="left" w:pos="1292"/>
        </w:tabs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DF4AE1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cs-CZ"/>
        </w:rPr>
        <w:t>Úmrtí:</w:t>
      </w:r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ab/>
        <w:t>809</w:t>
      </w:r>
    </w:p>
    <w:p w:rsidR="00DF4AE1" w:rsidRPr="00DF4AE1" w:rsidRDefault="00DF4AE1" w:rsidP="00DF4AE1">
      <w:pPr>
        <w:tabs>
          <w:tab w:val="left" w:pos="1292"/>
        </w:tabs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DF4AE1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cs-CZ"/>
        </w:rPr>
        <w:t>Patron:</w:t>
      </w:r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ab/>
        <w:t>biskupství münsterského a essenského</w:t>
      </w:r>
    </w:p>
    <w:p w:rsidR="00DF4AE1" w:rsidRPr="00DF4AE1" w:rsidRDefault="00DF4AE1" w:rsidP="00DF4AE1">
      <w:pPr>
        <w:tabs>
          <w:tab w:val="left" w:pos="1292"/>
        </w:tabs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DF4AE1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cs-CZ"/>
        </w:rPr>
        <w:t>Atributy:</w:t>
      </w:r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ab/>
        <w:t>biskup, husa, kniha, kostel</w:t>
      </w:r>
    </w:p>
    <w:p w:rsidR="00DF4AE1" w:rsidRPr="00DF4AE1" w:rsidRDefault="00DF4AE1" w:rsidP="00DF4AE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660033"/>
          <w:sz w:val="28"/>
          <w:szCs w:val="28"/>
          <w:lang w:eastAsia="cs-CZ"/>
        </w:rPr>
      </w:pPr>
      <w:r w:rsidRPr="00DF4AE1">
        <w:rPr>
          <w:rFonts w:ascii="Verdana" w:eastAsia="Times New Roman" w:hAnsi="Verdana" w:cs="Times New Roman"/>
          <w:b/>
          <w:color w:val="660033"/>
          <w:sz w:val="28"/>
          <w:szCs w:val="28"/>
          <w:lang w:eastAsia="cs-CZ"/>
        </w:rPr>
        <w:t>ŽIVOTOPIS</w:t>
      </w:r>
    </w:p>
    <w:p w:rsidR="00DF4AE1" w:rsidRPr="00DF4AE1" w:rsidRDefault="00DF4AE1" w:rsidP="00DF4AE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Přívětivý, upřímný a skromný </w:t>
      </w:r>
      <w:proofErr w:type="spellStart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Liudger</w:t>
      </w:r>
      <w:proofErr w:type="spellEnd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vyrostl v moudrého duchovního vůdce, který obracel mnoho pohanů. Po vpádu Sasů navštívil Řím a formoval se v Monte </w:t>
      </w:r>
      <w:proofErr w:type="spellStart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Cassino</w:t>
      </w:r>
      <w:proofErr w:type="spellEnd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. Pak vystavěl Münsterský chrám a tři kláštery, nejvýznamnější pro výchovu misionářů ve </w:t>
      </w:r>
      <w:proofErr w:type="spellStart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Werden</w:t>
      </w:r>
      <w:proofErr w:type="spellEnd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. Stal se biskupem münsterským, budoval farnosti a další chrámy. Řídil se tím, že rozmluva s Bohem má přednost i před císařem a vyplatilo se mu to.</w:t>
      </w:r>
    </w:p>
    <w:p w:rsidR="00DF4AE1" w:rsidRPr="00DF4AE1" w:rsidRDefault="00DF4AE1" w:rsidP="00DF4AE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660033"/>
          <w:sz w:val="28"/>
          <w:szCs w:val="28"/>
          <w:lang w:eastAsia="cs-CZ"/>
        </w:rPr>
      </w:pPr>
      <w:proofErr w:type="gramStart"/>
      <w:r w:rsidRPr="00DF4AE1">
        <w:rPr>
          <w:rFonts w:ascii="Verdana" w:eastAsia="Times New Roman" w:hAnsi="Verdana" w:cs="Times New Roman"/>
          <w:b/>
          <w:color w:val="660033"/>
          <w:sz w:val="28"/>
          <w:szCs w:val="28"/>
          <w:lang w:eastAsia="cs-CZ"/>
        </w:rPr>
        <w:t>ÚVAHY  PRO</w:t>
      </w:r>
      <w:proofErr w:type="gramEnd"/>
      <w:r w:rsidRPr="00DF4AE1">
        <w:rPr>
          <w:rFonts w:ascii="Verdana" w:eastAsia="Times New Roman" w:hAnsi="Verdana" w:cs="Times New Roman"/>
          <w:b/>
          <w:color w:val="660033"/>
          <w:sz w:val="28"/>
          <w:szCs w:val="28"/>
          <w:lang w:eastAsia="cs-CZ"/>
        </w:rPr>
        <w:t xml:space="preserve"> MEDITACI</w:t>
      </w:r>
    </w:p>
    <w:p w:rsidR="00DF4AE1" w:rsidRPr="00DF4AE1" w:rsidRDefault="00DF4AE1" w:rsidP="00DF4AE1">
      <w:pPr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color w:val="660033"/>
          <w:sz w:val="24"/>
          <w:szCs w:val="24"/>
          <w:lang w:eastAsia="cs-CZ"/>
        </w:rPr>
      </w:pPr>
      <w:r w:rsidRPr="00DF4AE1">
        <w:rPr>
          <w:rFonts w:ascii="Verdana" w:eastAsia="Times New Roman" w:hAnsi="Verdana" w:cs="Times New Roman"/>
          <w:color w:val="660033"/>
          <w:sz w:val="24"/>
          <w:szCs w:val="24"/>
          <w:lang w:eastAsia="cs-CZ"/>
        </w:rPr>
        <w:t>PŘEDNOST VĚCEM BOŽÍM SE VYPLATÍ</w:t>
      </w:r>
    </w:p>
    <w:p w:rsidR="00DF4AE1" w:rsidRPr="00DF4AE1" w:rsidRDefault="00DF4AE1" w:rsidP="00DF4AE1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Narodil se kolem roku 745 v urozené rodině v </w:t>
      </w:r>
      <w:proofErr w:type="spellStart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Dokkumu</w:t>
      </w:r>
      <w:proofErr w:type="spellEnd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ve Frísku. První vzdělání získával v utrechtské klášterní škole. Pak odešel do Yorku v Anglii, kde byl žákem učeného mnicha </w:t>
      </w:r>
      <w:proofErr w:type="spellStart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Alkuina</w:t>
      </w:r>
      <w:proofErr w:type="spellEnd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. Prospíval ve vědách i zbožnosti a pro svou laskavou povahu získával dosti přátel. Po čtyřech letech tam však vypukla vražedná nenávist vůči Frísům, protože jeden fríský kupec v hněvu zavraždil jednoho anglického šlechtice. Frísové se zachraňovali útěkem a mezi nimi i </w:t>
      </w:r>
      <w:proofErr w:type="spellStart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Liudger</w:t>
      </w:r>
      <w:proofErr w:type="spellEnd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.</w:t>
      </w:r>
    </w:p>
    <w:p w:rsidR="00DF4AE1" w:rsidRPr="00DF4AE1" w:rsidRDefault="00DF4AE1" w:rsidP="00DF4AE1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Vrátil se do Utrechtu a po dokončeném vzdělání v Kolíně r. 777 přijal kněžské svěcení. Zprvu působil v rodišti, záhy se </w:t>
      </w:r>
      <w:proofErr w:type="gramStart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stal</w:t>
      </w:r>
      <w:proofErr w:type="gramEnd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horlivým misionářem Fríska a později i Saska. Ještě jednou utíkal, a to před vpádem pohanských Sasů vedených </w:t>
      </w:r>
      <w:proofErr w:type="spellStart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Vitekindem</w:t>
      </w:r>
      <w:proofErr w:type="spellEnd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v </w:t>
      </w:r>
      <w:proofErr w:type="gramStart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r.782</w:t>
      </w:r>
      <w:proofErr w:type="gramEnd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. Tehdy navštívil Řím a byl přijat Hadriánem I. Pak pokračoval do Monte </w:t>
      </w:r>
      <w:proofErr w:type="spellStart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Cassino</w:t>
      </w:r>
      <w:proofErr w:type="spellEnd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, kde zůstal déle, aby dobře poznal pravidla řehole sv. Benedikta. V té době proti Sasům zakročoval Karel Veliký a podrobil si je. Po skončení bojů se vrátil </w:t>
      </w:r>
      <w:proofErr w:type="spellStart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Liudger</w:t>
      </w:r>
      <w:proofErr w:type="spellEnd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z Itálie do vlasti a v Monastýru ve Vestfálsku se pustil do stavby chrámu, z něhož chtěl vytvořit středisko misionářského působení. Dál na řece </w:t>
      </w:r>
      <w:proofErr w:type="spellStart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Ruře</w:t>
      </w:r>
      <w:proofErr w:type="spellEnd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</w:t>
      </w:r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lastRenderedPageBreak/>
        <w:t xml:space="preserve">ve </w:t>
      </w:r>
      <w:proofErr w:type="spellStart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Werdenu</w:t>
      </w:r>
      <w:proofErr w:type="spellEnd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u Essenu zřídil podle </w:t>
      </w:r>
      <w:proofErr w:type="spellStart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montecassinského</w:t>
      </w:r>
      <w:proofErr w:type="spellEnd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vzoru klášter, z něhož posílal věrozvěsty do Saska. Také založil křesťanskou osadu i na ostrově Helgolandu.</w:t>
      </w:r>
    </w:p>
    <w:p w:rsidR="00DF4AE1" w:rsidRPr="00DF4AE1" w:rsidRDefault="00DF4AE1" w:rsidP="00DF4AE1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Na doporučení </w:t>
      </w:r>
      <w:proofErr w:type="spellStart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Alkuina</w:t>
      </w:r>
      <w:proofErr w:type="spellEnd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byl jmenován prvním biskupem v Monastýru, který byl později přejmenován na </w:t>
      </w:r>
      <w:proofErr w:type="spellStart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Münster</w:t>
      </w:r>
      <w:proofErr w:type="spellEnd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. S biskupským vysvěcením nechtěl spěchat, neboť mu na srdci leželo misijní působení a klášter ve </w:t>
      </w:r>
      <w:proofErr w:type="spellStart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Werdenu</w:t>
      </w:r>
      <w:proofErr w:type="spellEnd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, kde snad ještě byl nějakou dobu opatem. K jeho biskupskému vysvěcení došlo až 30. 3. 804. I jako biskup žil co nejskromněji, přísně se postil a byl štědrý k chudým. Ve své diecézi vytvořil čtyřicet farností a budoval kostely. Kromě benediktinského kláštera ve </w:t>
      </w:r>
      <w:proofErr w:type="spellStart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Werdenu</w:t>
      </w:r>
      <w:proofErr w:type="spellEnd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založil ještě opatství </w:t>
      </w:r>
      <w:proofErr w:type="spellStart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Helmstedt</w:t>
      </w:r>
      <w:proofErr w:type="spellEnd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Nottuln</w:t>
      </w:r>
      <w:proofErr w:type="spellEnd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u </w:t>
      </w:r>
      <w:proofErr w:type="spellStart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Münsteru</w:t>
      </w:r>
      <w:proofErr w:type="spellEnd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.</w:t>
      </w:r>
    </w:p>
    <w:p w:rsidR="00DF4AE1" w:rsidRPr="00DF4AE1" w:rsidRDefault="00DF4AE1" w:rsidP="00DF4AE1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Někteří mocní, jimž se nelíbila </w:t>
      </w:r>
      <w:proofErr w:type="spellStart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Liudgerova</w:t>
      </w:r>
      <w:proofErr w:type="spellEnd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činnost, jej pomluvili u Karla Velikého, že plýtvá církevním jměním. Císař si dal </w:t>
      </w:r>
      <w:proofErr w:type="spellStart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Liudgera</w:t>
      </w:r>
      <w:proofErr w:type="spellEnd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předvolat a to v době modlitby církevních hodinek v chrámu. Posel mu žádost císaře, aby ihned k němu přišel, vyřídil, jenže </w:t>
      </w:r>
      <w:proofErr w:type="spellStart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Liudger</w:t>
      </w:r>
      <w:proofErr w:type="spellEnd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nedbal, přišel až po třetím předvolání po skončení modliteb. Na císařovu otázku, proč hned neposlechl, se ospravedlnil důvodem, že rozmlouval s Bohem, který je jeho větším pánem. Vysvětlil, že služba Bohu je vznešenější a důležitější nad všechnu lidskou službu a že se proto proti pozemskému pánu neprohřešil a je mu teď plně k službám. Těmi slovy získal zpět císařovu důvěru a zároveň přemohl nepřátele.</w:t>
      </w:r>
    </w:p>
    <w:p w:rsidR="00DF4AE1" w:rsidRPr="00DF4AE1" w:rsidRDefault="00DF4AE1" w:rsidP="00DF4AE1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Do poslední doby konal visitační cesty a na jedné z nich v </w:t>
      </w:r>
      <w:proofErr w:type="spellStart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Billerbecku</w:t>
      </w:r>
      <w:proofErr w:type="spellEnd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ve Vestfálsku odevzdal svou duši Pánu.</w:t>
      </w:r>
    </w:p>
    <w:p w:rsidR="00DF4AE1" w:rsidRPr="00DF4AE1" w:rsidRDefault="00DF4AE1" w:rsidP="00DF4AE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i/>
          <w:color w:val="660033"/>
          <w:sz w:val="28"/>
          <w:szCs w:val="28"/>
          <w:lang w:eastAsia="cs-CZ"/>
        </w:rPr>
      </w:pPr>
      <w:r w:rsidRPr="00DF4AE1">
        <w:rPr>
          <w:rFonts w:ascii="Verdana" w:eastAsia="Times New Roman" w:hAnsi="Verdana" w:cs="Times New Roman"/>
          <w:b/>
          <w:i/>
          <w:color w:val="660033"/>
          <w:sz w:val="28"/>
          <w:szCs w:val="28"/>
          <w:lang w:eastAsia="cs-CZ"/>
        </w:rPr>
        <w:t>PŘEDSEVZETÍ, MODLITBA</w:t>
      </w:r>
    </w:p>
    <w:p w:rsidR="00DF4AE1" w:rsidRPr="00DF4AE1" w:rsidRDefault="00DF4AE1" w:rsidP="00DF4AE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Budu dávat přednost bohoslužbám před ostatními zájmy a budu víc usilovat o to, aby mé myšlenky při modlitbě patřily jen Bohu.</w:t>
      </w:r>
    </w:p>
    <w:p w:rsidR="00DF4AE1" w:rsidRPr="00DF4AE1" w:rsidRDefault="00DF4AE1" w:rsidP="00DF4AE1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Milosrdný Bože, </w:t>
      </w:r>
      <w:proofErr w:type="spellStart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tys</w:t>
      </w:r>
      <w:proofErr w:type="spellEnd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povolal svatého </w:t>
      </w:r>
      <w:proofErr w:type="spellStart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Liudgera</w:t>
      </w:r>
      <w:proofErr w:type="spellEnd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, aby těm, kdo dosud neznali </w:t>
      </w:r>
      <w:bookmarkStart w:id="0" w:name="_GoBack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Krista, zprostředkoval poznání nevystižitelného bohatství jeho lásky; dej </w:t>
      </w:r>
      <w:bookmarkEnd w:id="0"/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nám, kteří jsme pravdu evangelia už poznali, ať podle ní také žijeme a dáváme Ti vždy přednost před vším ostatním. Prosíme o to skrze Tvého Syna Ježíše Krista, našeho Pána, neboť on s Tebou v jednotě Ducha svatého žije a kraluje po všechny věky věků. Amen</w:t>
      </w:r>
    </w:p>
    <w:p w:rsidR="00DF4AE1" w:rsidRDefault="00DF4AE1" w:rsidP="00DF4AE1">
      <w:pPr>
        <w:spacing w:after="100" w:afterAutospacing="1" w:line="240" w:lineRule="auto"/>
        <w:jc w:val="both"/>
        <w:rPr>
          <w:rFonts w:ascii="Verdana" w:eastAsia="Times New Roman" w:hAnsi="Verdana" w:cs="Times New Roman"/>
          <w:i/>
          <w:iCs/>
          <w:color w:val="222222"/>
          <w:sz w:val="24"/>
          <w:szCs w:val="24"/>
          <w:lang w:eastAsia="cs-CZ"/>
        </w:rPr>
      </w:pPr>
      <w:r w:rsidRPr="00DF4AE1">
        <w:rPr>
          <w:rFonts w:ascii="Verdana" w:eastAsia="Times New Roman" w:hAnsi="Verdana" w:cs="Times New Roman"/>
          <w:i/>
          <w:iCs/>
          <w:color w:val="222222"/>
          <w:sz w:val="24"/>
          <w:szCs w:val="24"/>
          <w:lang w:eastAsia="cs-CZ"/>
        </w:rPr>
        <w:t>(na podkladě závěrečné modlitby breviáře</w:t>
      </w:r>
      <w:r>
        <w:rPr>
          <w:rStyle w:val="FootnoteReference"/>
          <w:rFonts w:ascii="Verdana" w:eastAsia="Times New Roman" w:hAnsi="Verdana" w:cs="Times New Roman"/>
          <w:i/>
          <w:iCs/>
          <w:color w:val="222222"/>
          <w:sz w:val="24"/>
          <w:szCs w:val="24"/>
          <w:lang w:eastAsia="cs-CZ"/>
        </w:rPr>
        <w:footnoteReference w:id="1"/>
      </w:r>
      <w:r w:rsidRPr="00DF4AE1">
        <w:rPr>
          <w:rFonts w:ascii="Verdana" w:eastAsia="Times New Roman" w:hAnsi="Verdana" w:cs="Times New Roman"/>
          <w:i/>
          <w:iCs/>
          <w:color w:val="222222"/>
          <w:sz w:val="24"/>
          <w:szCs w:val="24"/>
          <w:lang w:eastAsia="cs-CZ"/>
        </w:rPr>
        <w:t>)</w:t>
      </w:r>
    </w:p>
    <w:p w:rsidR="006D3BD6" w:rsidRPr="00DD7B7C" w:rsidRDefault="002D03D7" w:rsidP="00DD7B7C">
      <w:pPr>
        <w:spacing w:after="100" w:afterAutospacing="1" w:line="240" w:lineRule="auto"/>
        <w:jc w:val="both"/>
        <w:rPr>
          <w:rFonts w:ascii="Verdana" w:eastAsia="Times New Roman" w:hAnsi="Verdana" w:cs="Times New Roman"/>
          <w:b/>
          <w:color w:val="660033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b/>
          <w:i/>
          <w:iCs/>
          <w:color w:val="660033"/>
          <w:sz w:val="24"/>
          <w:szCs w:val="24"/>
          <w:lang w:eastAsia="cs-CZ"/>
        </w:rPr>
        <w:t xml:space="preserve">Se souhlasem autora stránek </w:t>
      </w:r>
      <w:hyperlink r:id="rId9" w:history="1">
        <w:r w:rsidRPr="000A4AA5">
          <w:rPr>
            <w:rStyle w:val="Hyperlink"/>
            <w:rFonts w:ascii="Verdana" w:eastAsia="Times New Roman" w:hAnsi="Verdana" w:cs="Times New Roman"/>
            <w:b/>
            <w:i/>
            <w:iCs/>
            <w:sz w:val="24"/>
            <w:szCs w:val="24"/>
            <w:lang w:eastAsia="cs-CZ"/>
          </w:rPr>
          <w:t>www.catholica.cz</w:t>
        </w:r>
      </w:hyperlink>
      <w:r>
        <w:rPr>
          <w:rFonts w:ascii="Verdana" w:eastAsia="Times New Roman" w:hAnsi="Verdana" w:cs="Times New Roman"/>
          <w:b/>
          <w:i/>
          <w:iCs/>
          <w:color w:val="660033"/>
          <w:sz w:val="24"/>
          <w:szCs w:val="24"/>
          <w:lang w:eastAsia="cs-CZ"/>
        </w:rPr>
        <w:t xml:space="preserve"> připravil k tisku </w:t>
      </w:r>
      <w:proofErr w:type="spellStart"/>
      <w:r>
        <w:rPr>
          <w:rFonts w:ascii="Verdana" w:eastAsia="Times New Roman" w:hAnsi="Verdana" w:cs="Times New Roman"/>
          <w:b/>
          <w:i/>
          <w:iCs/>
          <w:color w:val="660033"/>
          <w:sz w:val="24"/>
          <w:szCs w:val="24"/>
          <w:lang w:eastAsia="cs-CZ"/>
        </w:rPr>
        <w:t>Iosif</w:t>
      </w:r>
      <w:proofErr w:type="spellEnd"/>
      <w:r>
        <w:rPr>
          <w:rFonts w:ascii="Verdana" w:eastAsia="Times New Roman" w:hAnsi="Verdana" w:cs="Times New Roman"/>
          <w:b/>
          <w:i/>
          <w:iCs/>
          <w:color w:val="660033"/>
          <w:sz w:val="24"/>
          <w:szCs w:val="24"/>
          <w:lang w:eastAsia="cs-CZ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i/>
          <w:iCs/>
          <w:color w:val="660033"/>
          <w:sz w:val="24"/>
          <w:szCs w:val="24"/>
          <w:lang w:eastAsia="cs-CZ"/>
        </w:rPr>
        <w:t>Fickl</w:t>
      </w:r>
      <w:proofErr w:type="spellEnd"/>
      <w:r>
        <w:rPr>
          <w:rFonts w:ascii="Verdana" w:eastAsia="Times New Roman" w:hAnsi="Verdana" w:cs="Times New Roman"/>
          <w:b/>
          <w:i/>
          <w:iCs/>
          <w:color w:val="660033"/>
          <w:sz w:val="24"/>
          <w:szCs w:val="24"/>
          <w:lang w:eastAsia="cs-CZ"/>
        </w:rPr>
        <w:t xml:space="preserve"> </w:t>
      </w:r>
    </w:p>
    <w:sectPr w:rsidR="006D3BD6" w:rsidRPr="00DD7B7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612" w:rsidRDefault="00AE0612" w:rsidP="00DF4AE1">
      <w:pPr>
        <w:spacing w:after="0" w:line="240" w:lineRule="auto"/>
      </w:pPr>
      <w:r>
        <w:separator/>
      </w:r>
    </w:p>
  </w:endnote>
  <w:endnote w:type="continuationSeparator" w:id="0">
    <w:p w:rsidR="00AE0612" w:rsidRDefault="00AE0612" w:rsidP="00DF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00013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543C" w:rsidRDefault="007254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543C" w:rsidRDefault="007254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612" w:rsidRDefault="00AE0612" w:rsidP="00DF4AE1">
      <w:pPr>
        <w:spacing w:after="0" w:line="240" w:lineRule="auto"/>
      </w:pPr>
      <w:r>
        <w:separator/>
      </w:r>
    </w:p>
  </w:footnote>
  <w:footnote w:type="continuationSeparator" w:id="0">
    <w:p w:rsidR="00AE0612" w:rsidRDefault="00AE0612" w:rsidP="00DF4AE1">
      <w:pPr>
        <w:spacing w:after="0" w:line="240" w:lineRule="auto"/>
      </w:pPr>
      <w:r>
        <w:continuationSeparator/>
      </w:r>
    </w:p>
  </w:footnote>
  <w:footnote w:id="1">
    <w:p w:rsidR="00DF4AE1" w:rsidRPr="00DF4AE1" w:rsidRDefault="00DF4AE1" w:rsidP="00DF4AE1">
      <w:pPr>
        <w:pStyle w:val="NoSpacing"/>
        <w:rPr>
          <w:rFonts w:ascii="Verdana" w:hAnsi="Verdana"/>
          <w:color w:val="000000" w:themeColor="text1"/>
          <w:sz w:val="24"/>
          <w:szCs w:val="24"/>
          <w:lang w:val="cs-CZ"/>
        </w:rPr>
      </w:pPr>
      <w:r w:rsidRPr="00DF4AE1">
        <w:rPr>
          <w:rStyle w:val="FootnoteReference"/>
          <w:color w:val="000000" w:themeColor="text1"/>
        </w:rPr>
        <w:footnoteRef/>
      </w:r>
      <w:r w:rsidRPr="00DF4AE1">
        <w:rPr>
          <w:color w:val="000000" w:themeColor="text1"/>
        </w:rPr>
        <w:t xml:space="preserve"> </w:t>
      </w:r>
      <w:proofErr w:type="spellStart"/>
      <w:r w:rsidRPr="0072543C">
        <w:rPr>
          <w:rFonts w:ascii="Arial" w:hAnsi="Arial" w:cs="Arial"/>
          <w:bCs/>
          <w:color w:val="000000" w:themeColor="text1"/>
          <w:sz w:val="20"/>
          <w:szCs w:val="20"/>
        </w:rPr>
        <w:t>Breviář</w:t>
      </w:r>
      <w:proofErr w:type="spellEnd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(</w:t>
      </w:r>
      <w:proofErr w:type="spellStart"/>
      <w:r w:rsidR="00AE0612" w:rsidRPr="0072543C">
        <w:rPr>
          <w:sz w:val="20"/>
          <w:szCs w:val="20"/>
        </w:rPr>
        <w:fldChar w:fldCharType="begin"/>
      </w:r>
      <w:r w:rsidR="00AE0612" w:rsidRPr="0072543C">
        <w:rPr>
          <w:sz w:val="20"/>
          <w:szCs w:val="20"/>
        </w:rPr>
        <w:instrText xml:space="preserve"> HYPERLINK "https://cs.wikipedia.org/wiki/Latina" \o "Latina" </w:instrText>
      </w:r>
      <w:r w:rsidR="00AE0612" w:rsidRPr="0072543C">
        <w:rPr>
          <w:sz w:val="20"/>
          <w:szCs w:val="20"/>
        </w:rPr>
        <w:fldChar w:fldCharType="separate"/>
      </w:r>
      <w:r w:rsidRPr="0072543C">
        <w:rPr>
          <w:rStyle w:val="Hyperlink"/>
          <w:rFonts w:ascii="Arial" w:hAnsi="Arial" w:cs="Arial"/>
          <w:color w:val="000000" w:themeColor="text1"/>
          <w:sz w:val="20"/>
          <w:szCs w:val="20"/>
        </w:rPr>
        <w:t>latinsky</w:t>
      </w:r>
      <w:proofErr w:type="spellEnd"/>
      <w:r w:rsidR="00AE0612" w:rsidRPr="0072543C">
        <w:rPr>
          <w:rStyle w:val="Hyperlink"/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2543C">
        <w:rPr>
          <w:rFonts w:ascii="Arial" w:hAnsi="Arial" w:cs="Arial"/>
          <w:i/>
          <w:iCs/>
          <w:color w:val="000000" w:themeColor="text1"/>
          <w:sz w:val="20"/>
          <w:szCs w:val="20"/>
        </w:rPr>
        <w:t>breviarium</w:t>
      </w:r>
      <w:proofErr w:type="spellEnd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) je </w:t>
      </w:r>
      <w:hyperlink r:id="rId1" w:tooltip="Liturgická kniha" w:history="1">
        <w:proofErr w:type="spellStart"/>
        <w:r w:rsidRPr="0072543C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liturgická</w:t>
        </w:r>
        <w:proofErr w:type="spellEnd"/>
        <w:r w:rsidRPr="0072543C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 xml:space="preserve"> </w:t>
        </w:r>
        <w:proofErr w:type="spellStart"/>
        <w:r w:rsidRPr="0072543C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kniha</w:t>
        </w:r>
        <w:proofErr w:type="spellEnd"/>
      </w:hyperlink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užívaná</w:t>
      </w:r>
      <w:proofErr w:type="spellEnd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v </w:t>
      </w:r>
      <w:hyperlink r:id="rId2" w:tooltip="Západní církev" w:history="1">
        <w:proofErr w:type="spellStart"/>
        <w:r w:rsidRPr="0072543C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západní</w:t>
        </w:r>
        <w:proofErr w:type="spellEnd"/>
        <w:r w:rsidRPr="0072543C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 xml:space="preserve"> </w:t>
        </w:r>
        <w:proofErr w:type="spellStart"/>
        <w:r w:rsidRPr="0072543C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církvi</w:t>
        </w:r>
        <w:proofErr w:type="spellEnd"/>
      </w:hyperlink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která</w:t>
      </w:r>
      <w:proofErr w:type="spellEnd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obsahuje</w:t>
      </w:r>
      <w:proofErr w:type="spellEnd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veškeré</w:t>
      </w:r>
      <w:proofErr w:type="spellEnd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hyperlink r:id="rId3" w:tooltip="Liturgický text" w:history="1">
        <w:proofErr w:type="spellStart"/>
        <w:r w:rsidRPr="0072543C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texty</w:t>
        </w:r>
        <w:proofErr w:type="spellEnd"/>
      </w:hyperlink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potřebné</w:t>
      </w:r>
      <w:proofErr w:type="spellEnd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k </w:t>
      </w:r>
      <w:proofErr w:type="spellStart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soukromé</w:t>
      </w:r>
      <w:proofErr w:type="spellEnd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(</w:t>
      </w:r>
      <w:proofErr w:type="spellStart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individuální</w:t>
      </w:r>
      <w:proofErr w:type="spellEnd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) </w:t>
      </w:r>
      <w:proofErr w:type="spellStart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modlitbě</w:t>
      </w:r>
      <w:proofErr w:type="spellEnd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hyperlink r:id="rId4" w:tooltip="Denní modlitba církve" w:history="1">
        <w:proofErr w:type="spellStart"/>
        <w:r w:rsidRPr="0072543C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denní</w:t>
        </w:r>
        <w:proofErr w:type="spellEnd"/>
        <w:r w:rsidRPr="0072543C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 xml:space="preserve"> </w:t>
        </w:r>
        <w:proofErr w:type="spellStart"/>
        <w:r w:rsidRPr="0072543C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modlitby</w:t>
        </w:r>
        <w:proofErr w:type="spellEnd"/>
        <w:r w:rsidRPr="0072543C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 xml:space="preserve"> </w:t>
        </w:r>
        <w:proofErr w:type="spellStart"/>
        <w:r w:rsidRPr="0072543C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církve</w:t>
        </w:r>
        <w:proofErr w:type="spellEnd"/>
      </w:hyperlink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Bývá</w:t>
      </w:r>
      <w:proofErr w:type="spellEnd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vydáván</w:t>
      </w:r>
      <w:proofErr w:type="spellEnd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ve</w:t>
      </w:r>
      <w:proofErr w:type="spellEnd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více</w:t>
      </w:r>
      <w:proofErr w:type="spellEnd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svazcích</w:t>
      </w:r>
      <w:proofErr w:type="spellEnd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  <w:proofErr w:type="gramEnd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Kniha</w:t>
      </w:r>
      <w:proofErr w:type="spellEnd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se </w:t>
      </w:r>
      <w:proofErr w:type="spellStart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skládá</w:t>
      </w:r>
      <w:proofErr w:type="spellEnd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z </w:t>
      </w:r>
      <w:proofErr w:type="spellStart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žalmů</w:t>
      </w:r>
      <w:proofErr w:type="spellEnd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úryvků</w:t>
      </w:r>
      <w:proofErr w:type="spellEnd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biblických</w:t>
      </w:r>
      <w:proofErr w:type="spellEnd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knih</w:t>
      </w:r>
      <w:proofErr w:type="spellEnd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vybraných</w:t>
      </w:r>
      <w:proofErr w:type="spellEnd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textů</w:t>
      </w:r>
      <w:proofErr w:type="spellEnd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svatých</w:t>
      </w:r>
      <w:proofErr w:type="spellEnd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hymnů</w:t>
      </w:r>
      <w:proofErr w:type="spellEnd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 </w:t>
      </w:r>
      <w:proofErr w:type="spellStart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křesťanských</w:t>
      </w:r>
      <w:proofErr w:type="spellEnd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modliteb</w:t>
      </w:r>
      <w:proofErr w:type="spellEnd"/>
      <w:r w:rsidRPr="007254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  <w:proofErr w:type="gramEnd"/>
    </w:p>
    <w:p w:rsidR="00DF4AE1" w:rsidRPr="00DF4AE1" w:rsidRDefault="00DF4AE1">
      <w:pPr>
        <w:pStyle w:val="FootnoteText"/>
        <w:rPr>
          <w:color w:val="000000" w:themeColor="text1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A80" w:rsidRDefault="00AE0612">
    <w:pPr>
      <w:pStyle w:val="Header"/>
    </w:pPr>
  </w:p>
  <w:p w:rsidR="00FC0A80" w:rsidRDefault="00AE06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AE1"/>
    <w:rsid w:val="001C4CF0"/>
    <w:rsid w:val="002D03D7"/>
    <w:rsid w:val="006D3BD6"/>
    <w:rsid w:val="0072543C"/>
    <w:rsid w:val="00986300"/>
    <w:rsid w:val="00AE0612"/>
    <w:rsid w:val="00BA2D64"/>
    <w:rsid w:val="00D3558F"/>
    <w:rsid w:val="00DD7B7C"/>
    <w:rsid w:val="00DF4AE1"/>
    <w:rsid w:val="00EB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E1"/>
    <w:pPr>
      <w:spacing w:after="160" w:line="259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AE1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DF4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AE1"/>
    <w:rPr>
      <w:lang w:val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4A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4AE1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DF4AE1"/>
    <w:rPr>
      <w:vertAlign w:val="superscript"/>
    </w:rPr>
  </w:style>
  <w:style w:type="paragraph" w:styleId="NoSpacing">
    <w:name w:val="No Spacing"/>
    <w:uiPriority w:val="1"/>
    <w:qFormat/>
    <w:rsid w:val="00DF4A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F4A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3D7"/>
    <w:rPr>
      <w:rFonts w:ascii="Tahoma" w:hAnsi="Tahoma" w:cs="Tahoma"/>
      <w:sz w:val="16"/>
      <w:szCs w:val="16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E1"/>
    <w:pPr>
      <w:spacing w:after="160" w:line="259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AE1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DF4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AE1"/>
    <w:rPr>
      <w:lang w:val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4A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4AE1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DF4AE1"/>
    <w:rPr>
      <w:vertAlign w:val="superscript"/>
    </w:rPr>
  </w:style>
  <w:style w:type="paragraph" w:styleId="NoSpacing">
    <w:name w:val="No Spacing"/>
    <w:uiPriority w:val="1"/>
    <w:qFormat/>
    <w:rsid w:val="00DF4A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F4A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3D7"/>
    <w:rPr>
      <w:rFonts w:ascii="Tahoma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tholica.cz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s.wikipedia.org/wiki/Liturgick%C3%BD_text" TargetMode="External"/><Relationship Id="rId2" Type="http://schemas.openxmlformats.org/officeDocument/2006/relationships/hyperlink" Target="https://cs.wikipedia.org/wiki/Z%C3%A1padn%C3%AD_c%C3%ADrkev" TargetMode="External"/><Relationship Id="rId1" Type="http://schemas.openxmlformats.org/officeDocument/2006/relationships/hyperlink" Target="https://cs.wikipedia.org/wiki/Liturgick%C3%A1_kniha" TargetMode="External"/><Relationship Id="rId4" Type="http://schemas.openxmlformats.org/officeDocument/2006/relationships/hyperlink" Target="https://cs.wikipedia.org/wiki/Denn%C3%AD_modlitba_c%C3%ADrk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F361C-8A2C-48C4-8818-21A7129AD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7</cp:revision>
  <cp:lastPrinted>2023-03-20T11:48:00Z</cp:lastPrinted>
  <dcterms:created xsi:type="dcterms:W3CDTF">2023-03-17T13:54:00Z</dcterms:created>
  <dcterms:modified xsi:type="dcterms:W3CDTF">2023-03-20T11:49:00Z</dcterms:modified>
</cp:coreProperties>
</file>